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851A" w14:textId="6A4834AB" w:rsidR="00553944" w:rsidRPr="00F6288A" w:rsidRDefault="00402656">
      <w:pPr>
        <w:rPr>
          <w:b/>
          <w:bCs/>
          <w:sz w:val="32"/>
          <w:szCs w:val="32"/>
        </w:rPr>
      </w:pPr>
      <w:r w:rsidRPr="00402656">
        <w:rPr>
          <w:b/>
          <w:bCs/>
          <w:sz w:val="32"/>
          <w:szCs w:val="32"/>
        </w:rPr>
        <w:t>Literatur zum Freiweilligen Verzicht auf Enterale Ernährung</w:t>
      </w:r>
    </w:p>
    <w:p w14:paraId="7685E47C" w14:textId="2EABDA4F" w:rsidR="00854F6D" w:rsidRPr="008A0B5A" w:rsidRDefault="00000000">
      <w:pPr>
        <w:rPr>
          <w:rStyle w:val="Hyperlink"/>
          <w:color w:val="auto"/>
          <w:u w:val="none"/>
        </w:rPr>
      </w:pPr>
      <w:hyperlink r:id="rId4" w:history="1">
        <w:r w:rsidR="00553944" w:rsidRPr="008A0B5A">
          <w:rPr>
            <w:rStyle w:val="Hyperlink"/>
            <w:color w:val="auto"/>
            <w:u w:val="none"/>
          </w:rPr>
          <w:t>https://www.dgpalliativmedizin.de/dgp-aktuell-2019/deutsche-gesellschaft-fuer-palliativmedizin-vor-bundesverfassungsgericht-zu-%C2%A7-217-stgb-leid-angst-und-verzweiflung-koennen-bei-schwerstkranken-zu-sterbewuenschen-fuehren.html</w:t>
        </w:r>
      </w:hyperlink>
    </w:p>
    <w:p w14:paraId="0C84737A" w14:textId="7917757D" w:rsidR="00854F6D" w:rsidRPr="008A0B5A" w:rsidRDefault="00854F6D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Ethische und rechtliche Gesichtspunkte der Künstlichen Ernährung:</w:t>
      </w:r>
    </w:p>
    <w:p w14:paraId="01873E55" w14:textId="36BEAE86" w:rsidR="00854F6D" w:rsidRPr="008A0B5A" w:rsidRDefault="00000000">
      <w:pPr>
        <w:rPr>
          <w:rFonts w:ascii="Calibri" w:eastAsia="Calibri" w:hAnsi="Calibri" w:cs="Times New Roman"/>
          <w:kern w:val="0"/>
          <w14:ligatures w14:val="none"/>
        </w:rPr>
      </w:pPr>
      <w:hyperlink r:id="rId5" w:history="1">
        <w:r w:rsidR="00854F6D" w:rsidRPr="008A0B5A">
          <w:rPr>
            <w:rStyle w:val="Hyperlink"/>
            <w:rFonts w:ascii="Calibri" w:eastAsia="Calibri" w:hAnsi="Calibri" w:cs="Times New Roman"/>
            <w:color w:val="auto"/>
            <w:kern w:val="0"/>
            <w:u w:val="none"/>
            <w14:ligatures w14:val="none"/>
          </w:rPr>
          <w:t>https://www.dgem.de/sites/default/files/PDFs/Leitlinien/S3-Leitlinien/s-0032-1332986.pdf</w:t>
        </w:r>
      </w:hyperlink>
    </w:p>
    <w:p w14:paraId="5428B132" w14:textId="105E7100" w:rsidR="00B5018C" w:rsidRPr="008A0B5A" w:rsidRDefault="00B5018C" w:rsidP="00B5018C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S3-Leitlinie der Deutschen Gesellschaft für Ernährungsmedizin (DGEM) in Zusammenarbeit mit der GESKES und der AKE Künstliche Ernährung im ambulanten Bereich:</w:t>
      </w:r>
    </w:p>
    <w:p w14:paraId="1952168D" w14:textId="720BAA26" w:rsidR="00B5018C" w:rsidRDefault="00000000">
      <w:pPr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</w:pPr>
      <w:hyperlink r:id="rId6" w:history="1">
        <w:r w:rsidR="00B5018C" w:rsidRPr="008A0B5A">
          <w:rPr>
            <w:rStyle w:val="Hyperlink"/>
            <w:rFonts w:ascii="Calibri" w:eastAsia="Calibri" w:hAnsi="Calibri" w:cs="Times New Roman"/>
            <w:color w:val="auto"/>
            <w:kern w:val="0"/>
            <w:u w:val="none"/>
            <w14:ligatures w14:val="none"/>
          </w:rPr>
          <w:t>https://www.dgem.de/sites/default/files/PDFs/Leitlinien/S3-Leitlinien/073-021l_S3_K%C3%BCnstliche_Ern%C3%A4hrung_ambulant_2014-04.pdf</w:t>
        </w:r>
      </w:hyperlink>
    </w:p>
    <w:p w14:paraId="52EF7A55" w14:textId="3EA3D8E5" w:rsidR="00757782" w:rsidRDefault="00757782">
      <w:pPr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</w:pPr>
      <w:r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  <w:fldChar w:fldCharType="begin"/>
      </w:r>
      <w:r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  <w:instrText>HYPERLINK "</w:instrText>
      </w:r>
      <w:r w:rsidRPr="00757782"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  <w:instrText>https://www.dgem.de/sites/default/files/PDFs/Leitlinien/S3-Leitlinien/07a_Leitlinie_DGEM_Online-PDF_watermarked.pdf</w:instrText>
      </w:r>
      <w:r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  <w:instrText>"</w:instrText>
      </w:r>
      <w:r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  <w:fldChar w:fldCharType="separate"/>
      </w:r>
      <w:r w:rsidRPr="00482C95">
        <w:rPr>
          <w:rStyle w:val="Hyperlink"/>
          <w:rFonts w:ascii="Calibri" w:eastAsia="Calibri" w:hAnsi="Calibri" w:cs="Times New Roman"/>
          <w:kern w:val="0"/>
          <w14:ligatures w14:val="none"/>
        </w:rPr>
        <w:t>https://www.dgem.de/sites/default/files/PDFs/Leitlinien/S3-Leitlinien/07a_Leitlinie_DGEM_Online-PDF_watermarked.pdf</w:t>
      </w:r>
      <w:r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  <w:fldChar w:fldCharType="end"/>
      </w:r>
    </w:p>
    <w:p w14:paraId="05CCC6E0" w14:textId="776B43D1" w:rsidR="008A0B5A" w:rsidRDefault="008A0B5A" w:rsidP="008A0B5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Ploner C.J., Rolke R. et al., Palliativmedizinische Versorgung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neurologischer Erkrankungen, S2k-Leitlinie, 2023; in: Deutsche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Gesellschaft </w:t>
      </w:r>
      <w:proofErr w:type="spellStart"/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für</w:t>
      </w:r>
      <w:proofErr w:type="spellEnd"/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Neurologie (Hrsg.), Leitlinien </w:t>
      </w:r>
      <w:proofErr w:type="spellStart"/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für</w:t>
      </w:r>
      <w:proofErr w:type="spellEnd"/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Diagnostik und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Therapie in der Neurologie</w:t>
      </w:r>
      <w:r>
        <w:rPr>
          <w:rFonts w:ascii="Calibri" w:eastAsia="Calibri" w:hAnsi="Calibri" w:cs="Times New Roman"/>
          <w:b/>
          <w:bCs/>
          <w:kern w:val="0"/>
          <w14:ligatures w14:val="none"/>
        </w:rPr>
        <w:t>:</w:t>
      </w:r>
    </w:p>
    <w:p w14:paraId="0CDFCDEC" w14:textId="006EDA00" w:rsidR="008A0B5A" w:rsidRDefault="008A0B5A" w:rsidP="008A0B5A">
      <w:pPr>
        <w:rPr>
          <w:rFonts w:ascii="Calibri" w:eastAsia="Calibri" w:hAnsi="Calibri" w:cs="Times New Roman"/>
          <w:kern w:val="0"/>
          <w14:ligatures w14:val="none"/>
        </w:rPr>
      </w:pPr>
      <w:hyperlink r:id="rId7" w:history="1">
        <w:r w:rsidRPr="00482C95">
          <w:rPr>
            <w:rStyle w:val="Hyperlink"/>
            <w:rFonts w:ascii="Calibri" w:eastAsia="Calibri" w:hAnsi="Calibri" w:cs="Times New Roman"/>
            <w:kern w:val="0"/>
            <w14:ligatures w14:val="none"/>
          </w:rPr>
          <w:t>https://register.awmf.org/assets/guidelines/030-145l_S2k_Palliativmedizinische-Versorgung-neurologischer-Erkrankungen_2023-04.pdf</w:t>
        </w:r>
      </w:hyperlink>
    </w:p>
    <w:p w14:paraId="506048F1" w14:textId="69159246" w:rsidR="008A0B5A" w:rsidRPr="008A0B5A" w:rsidRDefault="008A0B5A" w:rsidP="008A0B5A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Leitlinie für Patientinnen und Patienten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Palliativmedizinische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Versorgung neurologischer Erkrankungen</w:t>
      </w:r>
      <w:r>
        <w:rPr>
          <w:rFonts w:ascii="Calibri" w:eastAsia="Calibri" w:hAnsi="Calibri" w:cs="Times New Roman"/>
          <w:b/>
          <w:bCs/>
          <w:kern w:val="0"/>
          <w14:ligatures w14:val="none"/>
        </w:rPr>
        <w:t>:</w:t>
      </w:r>
    </w:p>
    <w:p w14:paraId="5D6E4973" w14:textId="7B99872E" w:rsidR="008A0B5A" w:rsidRPr="008A0B5A" w:rsidRDefault="008A0B5A" w:rsidP="008A0B5A">
      <w:pPr>
        <w:rPr>
          <w:rFonts w:ascii="Calibri" w:eastAsia="Calibri" w:hAnsi="Calibri" w:cs="Times New Roman"/>
          <w:kern w:val="0"/>
          <w14:ligatures w14:val="none"/>
        </w:rPr>
      </w:pPr>
      <w:hyperlink r:id="rId8" w:history="1">
        <w:r w:rsidRPr="00482C95">
          <w:rPr>
            <w:rStyle w:val="Hyperlink"/>
            <w:rFonts w:ascii="Calibri" w:eastAsia="Calibri" w:hAnsi="Calibri" w:cs="Times New Roman"/>
            <w:kern w:val="0"/>
            <w14:ligatures w14:val="none"/>
          </w:rPr>
          <w:t>https://hirnstiftung.org/wp-content/uploads/2025/11/DHS_Patientenleitlinie_Palliativmedizin_Stand_November-2025-1.pdf</w:t>
        </w:r>
      </w:hyperlink>
    </w:p>
    <w:p w14:paraId="27E99D74" w14:textId="043A5FB3" w:rsidR="00B5018C" w:rsidRPr="008A0B5A" w:rsidRDefault="00553944" w:rsidP="00553944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PEG-Sondenernährung: Ethische Grundlagen der Entscheidungsfindung:</w:t>
      </w:r>
    </w:p>
    <w:p w14:paraId="6BC98E51" w14:textId="77777777" w:rsidR="00553944" w:rsidRPr="008A0B5A" w:rsidRDefault="00000000" w:rsidP="00553944">
      <w:pPr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</w:pPr>
      <w:r w:rsidRPr="008A0B5A">
        <w:fldChar w:fldCharType="begin"/>
      </w:r>
      <w:r w:rsidRPr="008A0B5A">
        <w:instrText>HYPERLINK "https://nahrungsverweigerung.de/ethische-und-rechtliche-aspekte/"</w:instrText>
      </w:r>
      <w:r w:rsidRPr="008A0B5A">
        <w:fldChar w:fldCharType="separate"/>
      </w:r>
      <w:r w:rsidR="00553944" w:rsidRPr="008A0B5A"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  <w:t>https://nahrungsverweigerung.de/ethische-und-rechtliche-aspekte/</w:t>
      </w:r>
      <w:r w:rsidRPr="008A0B5A">
        <w:rPr>
          <w:rStyle w:val="Hyperlink"/>
          <w:rFonts w:ascii="Calibri" w:eastAsia="Calibri" w:hAnsi="Calibri" w:cs="Times New Roman"/>
          <w:color w:val="auto"/>
          <w:kern w:val="0"/>
          <w:u w:val="none"/>
          <w14:ligatures w14:val="none"/>
        </w:rPr>
        <w:fldChar w:fldCharType="end"/>
      </w:r>
    </w:p>
    <w:p w14:paraId="407907A0" w14:textId="3B504371" w:rsidR="00F6288A" w:rsidRPr="008A0B5A" w:rsidRDefault="00F6288A" w:rsidP="00F6288A">
      <w:pPr>
        <w:spacing w:after="0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Stellenwert der enteralen und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parenteralen Ernährung in der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Palliativmedizin</w:t>
      </w:r>
    </w:p>
    <w:p w14:paraId="4D15F1B6" w14:textId="04DF563B" w:rsidR="00F6288A" w:rsidRPr="008A0B5A" w:rsidRDefault="00F6288A" w:rsidP="00F6288A">
      <w:pPr>
        <w:spacing w:after="0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Wann und wie lange?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Andrea Schneider · Michael Dölle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Der Gastroenterologe</w:t>
      </w: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</w:p>
    <w:p w14:paraId="5A764920" w14:textId="0620F83F" w:rsidR="00F6288A" w:rsidRPr="008A0B5A" w:rsidRDefault="00F6288A" w:rsidP="00F6288A">
      <w:pPr>
        <w:spacing w:after="0"/>
        <w:rPr>
          <w:rFonts w:ascii="Calibri" w:eastAsia="Calibri" w:hAnsi="Calibri" w:cs="Times New Roman"/>
          <w:kern w:val="0"/>
          <w14:ligatures w14:val="none"/>
        </w:rPr>
      </w:pPr>
      <w:r w:rsidRPr="008A0B5A">
        <w:rPr>
          <w:rFonts w:ascii="Calibri" w:eastAsia="Calibri" w:hAnsi="Calibri" w:cs="Times New Roman"/>
          <w:kern w:val="0"/>
          <w14:ligatures w14:val="none"/>
        </w:rPr>
        <w:fldChar w:fldCharType="begin"/>
      </w:r>
      <w:r w:rsidRPr="008A0B5A">
        <w:rPr>
          <w:rFonts w:ascii="Calibri" w:eastAsia="Calibri" w:hAnsi="Calibri" w:cs="Times New Roman"/>
          <w:kern w:val="0"/>
          <w14:ligatures w14:val="none"/>
        </w:rPr>
        <w:instrText>HYPERLINK "</w:instrText>
      </w:r>
      <w:r w:rsidRPr="008A0B5A">
        <w:rPr>
          <w:rFonts w:ascii="Calibri" w:eastAsia="Calibri" w:hAnsi="Calibri" w:cs="Times New Roman"/>
          <w:kern w:val="0"/>
          <w14:ligatures w14:val="none"/>
        </w:rPr>
        <w:instrText>https://www.akademie-zwm.ch/uploads/tx_scpublications/Stellenwert_enterale_und_parenteralen_Ernaehrung_in_der_Palliativmedizin_2022_01.pdf</w:instrText>
      </w:r>
      <w:r w:rsidRPr="008A0B5A">
        <w:rPr>
          <w:rFonts w:ascii="Calibri" w:eastAsia="Calibri" w:hAnsi="Calibri" w:cs="Times New Roman"/>
          <w:kern w:val="0"/>
          <w14:ligatures w14:val="none"/>
        </w:rPr>
        <w:instrText>"</w:instrText>
      </w:r>
      <w:r w:rsidRPr="008A0B5A">
        <w:rPr>
          <w:rFonts w:ascii="Calibri" w:eastAsia="Calibri" w:hAnsi="Calibri" w:cs="Times New Roman"/>
          <w:kern w:val="0"/>
          <w14:ligatures w14:val="none"/>
        </w:rPr>
        <w:fldChar w:fldCharType="separate"/>
      </w:r>
      <w:r w:rsidRPr="008A0B5A">
        <w:rPr>
          <w:rStyle w:val="Hyperlink"/>
          <w:rFonts w:ascii="Calibri" w:eastAsia="Calibri" w:hAnsi="Calibri" w:cs="Times New Roman"/>
          <w:kern w:val="0"/>
          <w14:ligatures w14:val="none"/>
        </w:rPr>
        <w:t>https://www.akademie-zwm.ch/uploads/tx_scpublications/Stellenwert_enterale_und_parenteralen_Ernaehrung_in_der_Palliativmedizin_2022_01.pdf</w:t>
      </w:r>
      <w:r w:rsidRPr="008A0B5A">
        <w:rPr>
          <w:rFonts w:ascii="Calibri" w:eastAsia="Calibri" w:hAnsi="Calibri" w:cs="Times New Roman"/>
          <w:kern w:val="0"/>
          <w14:ligatures w14:val="none"/>
        </w:rPr>
        <w:fldChar w:fldCharType="end"/>
      </w:r>
    </w:p>
    <w:p w14:paraId="414B250B" w14:textId="77777777" w:rsidR="00F6288A" w:rsidRPr="008A0B5A" w:rsidRDefault="00F6288A" w:rsidP="00F6288A">
      <w:pPr>
        <w:spacing w:after="0"/>
        <w:rPr>
          <w:rFonts w:ascii="Calibri" w:eastAsia="Calibri" w:hAnsi="Calibri" w:cs="Times New Roman"/>
          <w:kern w:val="0"/>
          <w14:ligatures w14:val="none"/>
        </w:rPr>
      </w:pPr>
    </w:p>
    <w:p w14:paraId="07A9D75A" w14:textId="6B4411CC" w:rsidR="00F6288A" w:rsidRPr="008A0B5A" w:rsidRDefault="00F6288A" w:rsidP="00F6288A">
      <w:pPr>
        <w:spacing w:after="0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t>Ernährung am Lebensende – Palliativmedizin, das „PEG-Dilemma“               Löser, Christian: 2011 Unter- und Mangelernährung</w:t>
      </w:r>
    </w:p>
    <w:p w14:paraId="4C37CE57" w14:textId="02180653" w:rsidR="00F6288A" w:rsidRPr="008A0B5A" w:rsidRDefault="00F6288A" w:rsidP="00F6288A">
      <w:pPr>
        <w:spacing w:after="0"/>
        <w:rPr>
          <w:rFonts w:ascii="Calibri" w:eastAsia="Calibri" w:hAnsi="Calibri" w:cs="Times New Roman"/>
          <w:kern w:val="0"/>
          <w14:ligatures w14:val="none"/>
        </w:rPr>
      </w:pPr>
      <w:hyperlink r:id="rId9" w:history="1">
        <w:r w:rsidRPr="008A0B5A">
          <w:rPr>
            <w:rStyle w:val="Hyperlink"/>
            <w:rFonts w:ascii="Calibri" w:eastAsia="Calibri" w:hAnsi="Calibri" w:cs="Times New Roman"/>
            <w:kern w:val="0"/>
            <w14:ligatures w14:val="none"/>
          </w:rPr>
          <w:t>https://www.thieme-connect.de/products/ebooks/lookinside/10.1055/b-0034-43535</w:t>
        </w:r>
      </w:hyperlink>
      <w:r w:rsidRPr="008A0B5A">
        <w:rPr>
          <w:rFonts w:ascii="Calibri" w:eastAsia="Calibri" w:hAnsi="Calibri" w:cs="Times New Roman"/>
          <w:kern w:val="0"/>
          <w14:ligatures w14:val="none"/>
        </w:rPr>
        <w:t xml:space="preserve">  </w:t>
      </w:r>
    </w:p>
    <w:p w14:paraId="28B16406" w14:textId="77777777" w:rsidR="00F6288A" w:rsidRPr="008A0B5A" w:rsidRDefault="00F6288A" w:rsidP="00F6288A">
      <w:pPr>
        <w:spacing w:after="0"/>
        <w:rPr>
          <w:rFonts w:ascii="Calibri" w:eastAsia="Calibri" w:hAnsi="Calibri" w:cs="Times New Roman"/>
          <w:kern w:val="0"/>
          <w14:ligatures w14:val="none"/>
        </w:rPr>
      </w:pPr>
    </w:p>
    <w:p w14:paraId="25ABF8C7" w14:textId="77777777" w:rsidR="00F6288A" w:rsidRPr="008A0B5A" w:rsidRDefault="00402656" w:rsidP="00402656">
      <w:pPr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8A0B5A">
        <w:rPr>
          <w:rFonts w:ascii="Calibri" w:eastAsia="Calibri" w:hAnsi="Calibri" w:cs="Times New Roman"/>
          <w:b/>
          <w:bCs/>
          <w:kern w:val="0"/>
          <w14:ligatures w14:val="none"/>
        </w:rPr>
        <w:lastRenderedPageBreak/>
        <w:t>Entscheidungsfindungen in der letzten Lebensphase / Ethische Fragestellungen erkennen und bearbeiten / Instrumente und ausgewählte Modelle:</w:t>
      </w:r>
    </w:p>
    <w:p w14:paraId="33C84243" w14:textId="77777777" w:rsidR="00757782" w:rsidRDefault="00F6288A">
      <w:pPr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  <w:hyperlink r:id="rId10" w:history="1">
        <w:r w:rsidRPr="008A0B5A">
          <w:rPr>
            <w:rStyle w:val="Hyperlink"/>
            <w:rFonts w:ascii="Calibri" w:eastAsia="Calibri" w:hAnsi="Calibri" w:cs="Times New Roman"/>
            <w:kern w:val="0"/>
            <w14:ligatures w14:val="none"/>
          </w:rPr>
          <w:t>https://alpha-nrw.de/wp-content/uploads/2022/01/entscheidungsfindung-2021-08.pdf</w:t>
        </w:r>
      </w:hyperlink>
      <w:r w:rsidR="008A0B5A">
        <w:rPr>
          <w:rFonts w:ascii="Calibri" w:eastAsia="Calibri" w:hAnsi="Calibri" w:cs="Times New Roman"/>
          <w:kern w:val="0"/>
          <w:sz w:val="28"/>
          <w:szCs w:val="28"/>
          <w14:ligatures w14:val="none"/>
        </w:rPr>
        <w:t xml:space="preserve">                      </w:t>
      </w:r>
    </w:p>
    <w:p w14:paraId="141EBFD2" w14:textId="77777777" w:rsidR="00757782" w:rsidRPr="00757782" w:rsidRDefault="00757782">
      <w:pPr>
        <w:rPr>
          <w:rFonts w:ascii="Calibri" w:eastAsia="Calibri" w:hAnsi="Calibri" w:cs="Times New Roman"/>
          <w:kern w:val="0"/>
          <w14:ligatures w14:val="none"/>
        </w:rPr>
      </w:pPr>
    </w:p>
    <w:p w14:paraId="004728DB" w14:textId="2DC1097D" w:rsidR="00553944" w:rsidRPr="00757782" w:rsidRDefault="008A0B5A">
      <w:pPr>
        <w:rPr>
          <w:rFonts w:ascii="Calibri" w:eastAsia="Calibri" w:hAnsi="Calibri" w:cs="Times New Roman"/>
          <w:kern w:val="0"/>
          <w14:ligatures w14:val="none"/>
        </w:rPr>
      </w:pPr>
      <w:r w:rsidRPr="00757782">
        <w:rPr>
          <w:rStyle w:val="Hyperlink"/>
          <w:color w:val="auto"/>
          <w:u w:val="none"/>
        </w:rPr>
        <w:t>(</w:t>
      </w:r>
      <w:r w:rsidR="00402656" w:rsidRPr="00757782">
        <w:rPr>
          <w:rStyle w:val="Hyperlink"/>
          <w:color w:val="auto"/>
          <w:u w:val="none"/>
        </w:rPr>
        <w:t xml:space="preserve">Alle links mit </w:t>
      </w:r>
      <w:r w:rsidR="00553944" w:rsidRPr="00757782">
        <w:rPr>
          <w:rStyle w:val="Hyperlink"/>
          <w:color w:val="auto"/>
          <w:u w:val="none"/>
        </w:rPr>
        <w:t>Zugriff am 2</w:t>
      </w:r>
      <w:r w:rsidR="00F6288A" w:rsidRPr="00757782">
        <w:rPr>
          <w:rStyle w:val="Hyperlink"/>
          <w:color w:val="auto"/>
          <w:u w:val="none"/>
        </w:rPr>
        <w:t>8</w:t>
      </w:r>
      <w:r w:rsidR="00553944" w:rsidRPr="00757782">
        <w:rPr>
          <w:rStyle w:val="Hyperlink"/>
          <w:color w:val="auto"/>
          <w:u w:val="none"/>
        </w:rPr>
        <w:t>.0</w:t>
      </w:r>
      <w:r w:rsidR="00F6288A" w:rsidRPr="00757782">
        <w:rPr>
          <w:rStyle w:val="Hyperlink"/>
          <w:color w:val="auto"/>
          <w:u w:val="none"/>
        </w:rPr>
        <w:t>3</w:t>
      </w:r>
      <w:r w:rsidR="00553944" w:rsidRPr="00757782">
        <w:rPr>
          <w:rStyle w:val="Hyperlink"/>
          <w:color w:val="auto"/>
          <w:u w:val="none"/>
        </w:rPr>
        <w:t>.2026</w:t>
      </w:r>
      <w:r w:rsidRPr="00757782">
        <w:rPr>
          <w:rStyle w:val="Hyperlink"/>
          <w:color w:val="auto"/>
          <w:u w:val="none"/>
        </w:rPr>
        <w:t xml:space="preserve"> Sabine Götte)</w:t>
      </w:r>
    </w:p>
    <w:sectPr w:rsidR="00553944" w:rsidRPr="007577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6D"/>
    <w:rsid w:val="00196FA5"/>
    <w:rsid w:val="00402656"/>
    <w:rsid w:val="004E073B"/>
    <w:rsid w:val="00550E36"/>
    <w:rsid w:val="00553944"/>
    <w:rsid w:val="00555C59"/>
    <w:rsid w:val="00757782"/>
    <w:rsid w:val="007E51D3"/>
    <w:rsid w:val="00854F6D"/>
    <w:rsid w:val="008A0B5A"/>
    <w:rsid w:val="00B5018C"/>
    <w:rsid w:val="00F6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D22D"/>
  <w15:chartTrackingRefBased/>
  <w15:docId w15:val="{2F6EFA3F-D285-4FAD-A1DF-597CB7EC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54F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54F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54F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54F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54F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54F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54F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54F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54F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54F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54F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54F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54F6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54F6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54F6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54F6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54F6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54F6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54F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54F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54F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54F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54F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54F6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54F6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54F6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54F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54F6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54F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854F6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54F6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54F6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9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rnstiftung.org/wp-content/uploads/2025/11/DHS_Patientenleitlinie_Palliativmedizin_Stand_November-2025-1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gister.awmf.org/assets/guidelines/030-145l_S2k_Palliativmedizinische-Versorgung-neurologischer-Erkrankungen_2023-04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gem.de/sites/default/files/PDFs/Leitlinien/S3-Leitlinien/073-021l_S3_K%C3%BCnstliche_Ern%C3%A4hrung_ambulant_2014-04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dgem.de/sites/default/files/PDFs/Leitlinien/S3-Leitlinien/s-0032-1332986.pdf" TargetMode="External"/><Relationship Id="rId10" Type="http://schemas.openxmlformats.org/officeDocument/2006/relationships/hyperlink" Target="https://alpha-nrw.de/wp-content/uploads/2022/01/entscheidungsfindung-2021-08.pdf" TargetMode="External"/><Relationship Id="rId4" Type="http://schemas.openxmlformats.org/officeDocument/2006/relationships/hyperlink" Target="https://www.dgpalliativmedizin.de/dgp-aktuell-2019/deutsche-gesellschaft-fuer-palliativmedizin-vor-bundesverfassungsgericht-zu-%C2%A7-217-stgb-leid-angst-und-verzweiflung-koennen-bei-schwerstkranken-zu-sterbewuenschen-fuehren.html" TargetMode="External"/><Relationship Id="rId9" Type="http://schemas.openxmlformats.org/officeDocument/2006/relationships/hyperlink" Target="https://www.thieme-connect.de/products/ebooks/lookinside/10.1055/b-0034-43535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Besitzer</dc:creator>
  <cp:keywords/>
  <dc:description/>
  <cp:lastModifiedBy>Besitzer</cp:lastModifiedBy>
  <cp:revision>5</cp:revision>
  <dcterms:created xsi:type="dcterms:W3CDTF">2026-02-20T16:35:00Z</dcterms:created>
  <dcterms:modified xsi:type="dcterms:W3CDTF">2026-03-28T17:33:00Z</dcterms:modified>
</cp:coreProperties>
</file>